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776ABC" w:rsidP="00685004">
      <w:pPr>
        <w:spacing w:line="276" w:lineRule="auto"/>
        <w:jc w:val="center"/>
        <w:rPr>
          <w:rFonts w:ascii="Arial" w:hAnsi="Arial" w:cs="Arial"/>
          <w:b/>
          <w:sz w:val="24"/>
          <w:szCs w:val="24"/>
        </w:rPr>
      </w:pPr>
      <w:r>
        <w:rPr>
          <w:rFonts w:ascii="Arial" w:hAnsi="Arial" w:cs="Arial"/>
          <w:b/>
          <w:sz w:val="24"/>
          <w:szCs w:val="24"/>
        </w:rPr>
        <w:t>TERMO DE REFERÊNCIA nº10</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033B32">
        <w:rPr>
          <w:rFonts w:ascii="Arial" w:hAnsi="Arial" w:cs="Arial"/>
          <w:b/>
          <w:sz w:val="24"/>
          <w:szCs w:val="24"/>
        </w:rPr>
        <w:t>456</w:t>
      </w:r>
      <w:r w:rsidRPr="003442E4">
        <w:rPr>
          <w:rFonts w:ascii="Arial" w:hAnsi="Arial" w:cs="Arial"/>
          <w:b/>
          <w:sz w:val="24"/>
          <w:szCs w:val="24"/>
        </w:rPr>
        <w:t>/2025</w:t>
      </w:r>
    </w:p>
    <w:p w:rsidR="00685004" w:rsidRPr="007A38D6" w:rsidRDefault="00685004" w:rsidP="00A75CA2">
      <w:pPr>
        <w:spacing w:line="276" w:lineRule="auto"/>
        <w:jc w:val="both"/>
        <w:rPr>
          <w:rFonts w:ascii="Arial" w:hAnsi="Arial" w:cs="Arial"/>
          <w:sz w:val="24"/>
          <w:szCs w:val="24"/>
          <w:shd w:val="clear" w:color="auto" w:fill="FFFFFF"/>
        </w:rPr>
      </w:pPr>
      <w:r w:rsidRPr="003442E4">
        <w:rPr>
          <w:rFonts w:ascii="Arial" w:hAnsi="Arial" w:cs="Arial"/>
          <w:b/>
          <w:sz w:val="24"/>
          <w:szCs w:val="24"/>
        </w:rPr>
        <w:t xml:space="preserve">ASSUNTO: </w:t>
      </w:r>
      <w:r w:rsidR="00033B32" w:rsidRPr="007A38D6">
        <w:rPr>
          <w:rFonts w:ascii="Arial" w:hAnsi="Arial" w:cs="Arial"/>
          <w:sz w:val="24"/>
          <w:szCs w:val="24"/>
          <w:shd w:val="clear" w:color="auto" w:fill="FFFFFF"/>
        </w:rPr>
        <w:t>Contratação de empresa especializada para confecção de broches</w:t>
      </w:r>
      <w:r w:rsidR="00033B32" w:rsidRPr="007A38D6">
        <w:rPr>
          <w:sz w:val="24"/>
          <w:szCs w:val="24"/>
        </w:rPr>
        <w:br/>
      </w:r>
      <w:proofErr w:type="gramStart"/>
      <w:r w:rsidR="00033B32" w:rsidRPr="007A38D6">
        <w:rPr>
          <w:rFonts w:ascii="Arial" w:hAnsi="Arial" w:cs="Arial"/>
          <w:sz w:val="24"/>
          <w:szCs w:val="24"/>
          <w:shd w:val="clear" w:color="auto" w:fill="FFFFFF"/>
        </w:rPr>
        <w:t>(</w:t>
      </w:r>
      <w:proofErr w:type="gramEnd"/>
      <w:r w:rsidR="00033B32" w:rsidRPr="007A38D6">
        <w:rPr>
          <w:rFonts w:ascii="Arial" w:hAnsi="Arial" w:cs="Arial"/>
          <w:sz w:val="24"/>
          <w:szCs w:val="24"/>
          <w:shd w:val="clear" w:color="auto" w:fill="FFFFFF"/>
        </w:rPr>
        <w:t>pins), com o brasão do Município de Santa Bárbara d'Oeste,</w:t>
      </w:r>
      <w:r w:rsidR="00033B32" w:rsidRPr="007A38D6">
        <w:rPr>
          <w:sz w:val="24"/>
          <w:szCs w:val="24"/>
        </w:rPr>
        <w:br/>
      </w:r>
      <w:r w:rsidR="00033B32" w:rsidRPr="007A38D6">
        <w:rPr>
          <w:rFonts w:ascii="Arial" w:hAnsi="Arial" w:cs="Arial"/>
          <w:sz w:val="24"/>
          <w:szCs w:val="24"/>
          <w:shd w:val="clear" w:color="auto" w:fill="FFFFFF"/>
        </w:rPr>
        <w:t>acompanhado dos dizeres "Poder Legislativo".</w:t>
      </w:r>
    </w:p>
    <w:p w:rsidR="00266AD9" w:rsidRDefault="00266AD9" w:rsidP="00174021">
      <w:pPr>
        <w:spacing w:line="276" w:lineRule="auto"/>
        <w:jc w:val="both"/>
        <w:rPr>
          <w:rFonts w:ascii="Arial" w:hAnsi="Arial" w:cs="Arial"/>
          <w:b/>
          <w:sz w:val="24"/>
          <w:szCs w:val="24"/>
        </w:rPr>
      </w:pPr>
    </w:p>
    <w:p w:rsidR="00685004" w:rsidRPr="003442E4" w:rsidRDefault="00685004" w:rsidP="00174021">
      <w:pPr>
        <w:spacing w:line="276" w:lineRule="auto"/>
        <w:jc w:val="both"/>
        <w:rPr>
          <w:rFonts w:ascii="Arial" w:hAnsi="Arial" w:cs="Arial"/>
          <w:sz w:val="24"/>
          <w:szCs w:val="24"/>
        </w:rPr>
      </w:pPr>
      <w:bookmarkStart w:id="0" w:name="_GoBack"/>
      <w:bookmarkEnd w:id="0"/>
      <w:r w:rsidRPr="003442E4">
        <w:rPr>
          <w:rFonts w:ascii="Arial" w:hAnsi="Arial" w:cs="Arial"/>
          <w:b/>
          <w:sz w:val="24"/>
          <w:szCs w:val="24"/>
        </w:rPr>
        <w:t>Unidade Solicitante</w:t>
      </w:r>
      <w:r w:rsidRPr="003442E4">
        <w:rPr>
          <w:rFonts w:ascii="Arial" w:hAnsi="Arial" w:cs="Arial"/>
          <w:sz w:val="24"/>
          <w:szCs w:val="24"/>
        </w:rPr>
        <w:t xml:space="preserve">: </w:t>
      </w:r>
      <w:r w:rsidR="00033B32">
        <w:rPr>
          <w:rFonts w:ascii="Arial" w:hAnsi="Arial" w:cs="Arial"/>
          <w:sz w:val="24"/>
          <w:szCs w:val="24"/>
        </w:rPr>
        <w:t>Diretoria de Comunicação e Cerimonial.</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B33474" w:rsidRDefault="00685004" w:rsidP="00B33474">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B33474" w:rsidRPr="00B33474">
        <w:rPr>
          <w:rFonts w:ascii="Arial" w:hAnsi="Arial" w:cs="Arial"/>
          <w:b/>
          <w:sz w:val="24"/>
          <w:szCs w:val="24"/>
        </w:rPr>
        <w:t>R$ 5.100,00 (cinco mil e cem reais)</w:t>
      </w:r>
    </w:p>
    <w:p w:rsidR="00B33474" w:rsidRDefault="00685004" w:rsidP="00B33474">
      <w:pPr>
        <w:spacing w:line="276" w:lineRule="auto"/>
        <w:jc w:val="both"/>
        <w:rPr>
          <w:rFonts w:ascii="Arial" w:hAnsi="Arial" w:cs="Arial"/>
          <w:color w:val="000000"/>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r w:rsidR="00B33474" w:rsidRPr="00B33474">
        <w:rPr>
          <w:rFonts w:ascii="Arial" w:hAnsi="Arial" w:cs="Arial"/>
          <w:color w:val="000000"/>
          <w:sz w:val="24"/>
          <w:szCs w:val="24"/>
        </w:rPr>
        <w:t>ficha</w:t>
      </w:r>
      <w:r w:rsidR="00B33474">
        <w:rPr>
          <w:rFonts w:ascii="Arial" w:hAnsi="Arial" w:cs="Arial"/>
          <w:color w:val="000000"/>
          <w:sz w:val="24"/>
          <w:szCs w:val="24"/>
        </w:rPr>
        <w:t xml:space="preserve"> </w:t>
      </w:r>
      <w:proofErr w:type="gramStart"/>
      <w:r w:rsidR="00B33474" w:rsidRPr="00B33474">
        <w:rPr>
          <w:rFonts w:ascii="Arial" w:hAnsi="Arial" w:cs="Arial"/>
          <w:color w:val="000000"/>
          <w:sz w:val="24"/>
          <w:szCs w:val="24"/>
        </w:rPr>
        <w:t>nº.</w:t>
      </w:r>
      <w:proofErr w:type="gramEnd"/>
      <w:r w:rsidR="00B33474" w:rsidRPr="00B33474">
        <w:rPr>
          <w:rFonts w:ascii="Arial" w:hAnsi="Arial" w:cs="Arial"/>
          <w:color w:val="000000"/>
          <w:sz w:val="24"/>
          <w:szCs w:val="24"/>
        </w:rPr>
        <w:t xml:space="preserve">12 – 3.3.90.30.00 – material de consumo, </w:t>
      </w:r>
      <w:proofErr w:type="spellStart"/>
      <w:r w:rsidR="00B33474" w:rsidRPr="00B33474">
        <w:rPr>
          <w:rFonts w:ascii="Arial" w:hAnsi="Arial" w:cs="Arial"/>
          <w:color w:val="000000"/>
          <w:sz w:val="24"/>
          <w:szCs w:val="24"/>
        </w:rPr>
        <w:t>subelemento</w:t>
      </w:r>
      <w:proofErr w:type="spellEnd"/>
      <w:r w:rsidR="00B33474" w:rsidRPr="00B33474">
        <w:rPr>
          <w:rFonts w:ascii="Arial" w:hAnsi="Arial" w:cs="Arial"/>
          <w:color w:val="000000"/>
          <w:sz w:val="24"/>
          <w:szCs w:val="24"/>
        </w:rPr>
        <w:t xml:space="preserve"> nº 44 – material </w:t>
      </w:r>
      <w:proofErr w:type="spellStart"/>
      <w:r w:rsidR="00B33474" w:rsidRPr="00B33474">
        <w:rPr>
          <w:rFonts w:ascii="Arial" w:hAnsi="Arial" w:cs="Arial"/>
          <w:color w:val="000000"/>
          <w:sz w:val="24"/>
          <w:szCs w:val="24"/>
        </w:rPr>
        <w:t>desinalização</w:t>
      </w:r>
      <w:proofErr w:type="spellEnd"/>
      <w:r w:rsidR="00B33474" w:rsidRPr="00B33474">
        <w:rPr>
          <w:rFonts w:ascii="Arial" w:hAnsi="Arial" w:cs="Arial"/>
          <w:color w:val="000000"/>
          <w:sz w:val="24"/>
          <w:szCs w:val="24"/>
        </w:rPr>
        <w:t xml:space="preserve"> visual e afins</w:t>
      </w:r>
    </w:p>
    <w:p w:rsidR="00685004" w:rsidRPr="003442E4" w:rsidRDefault="00685004" w:rsidP="00B33474">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pStyle w:val="PargrafodaLista"/>
        <w:numPr>
          <w:ilvl w:val="1"/>
          <w:numId w:val="1"/>
        </w:numPr>
        <w:spacing w:line="276" w:lineRule="auto"/>
        <w:jc w:val="both"/>
        <w:rPr>
          <w:rFonts w:ascii="Arial" w:hAnsi="Arial" w:cs="Arial"/>
          <w:sz w:val="24"/>
          <w:szCs w:val="24"/>
          <w:shd w:val="clear" w:color="auto" w:fill="FFFFFF"/>
        </w:rPr>
      </w:pPr>
      <w:r w:rsidRPr="003442E4">
        <w:rPr>
          <w:rFonts w:ascii="Arial" w:hAnsi="Arial" w:cs="Arial"/>
          <w:sz w:val="24"/>
          <w:szCs w:val="24"/>
          <w:shd w:val="clear" w:color="auto" w:fill="FFFFFF"/>
        </w:rPr>
        <w:t>Contratação de empresa especializada para o fornecimento de</w:t>
      </w:r>
      <w:r w:rsidRPr="003442E4">
        <w:rPr>
          <w:rFonts w:ascii="Arial" w:hAnsi="Arial" w:cs="Arial"/>
          <w:sz w:val="24"/>
          <w:szCs w:val="24"/>
        </w:rPr>
        <w:t xml:space="preserve"> </w:t>
      </w:r>
      <w:r w:rsidR="00033B32">
        <w:rPr>
          <w:rFonts w:ascii="Arial" w:hAnsi="Arial" w:cs="Arial"/>
          <w:sz w:val="24"/>
          <w:szCs w:val="24"/>
        </w:rPr>
        <w:t>300 broches (pins)</w:t>
      </w:r>
      <w:r w:rsidRPr="003442E4">
        <w:rPr>
          <w:rFonts w:ascii="Arial" w:hAnsi="Arial" w:cs="Arial"/>
          <w:sz w:val="24"/>
          <w:szCs w:val="24"/>
          <w:shd w:val="clear" w:color="auto" w:fill="FFFFFF"/>
        </w:rPr>
        <w:t>, conforme especificações abaixo:</w:t>
      </w:r>
    </w:p>
    <w:p w:rsidR="00685004" w:rsidRPr="003442E4" w:rsidRDefault="00685004" w:rsidP="00174021">
      <w:pPr>
        <w:spacing w:line="276" w:lineRule="auto"/>
        <w:jc w:val="both"/>
        <w:rPr>
          <w:rFonts w:ascii="Arial" w:hAnsi="Arial" w:cs="Arial"/>
          <w:sz w:val="24"/>
          <w:szCs w:val="24"/>
          <w:shd w:val="clear" w:color="auto" w:fill="FFFFFF"/>
        </w:rPr>
      </w:pPr>
    </w:p>
    <w:tbl>
      <w:tblPr>
        <w:tblStyle w:val="Tabelacomgrade"/>
        <w:tblW w:w="8065" w:type="dxa"/>
        <w:jc w:val="center"/>
        <w:tblLayout w:type="fixed"/>
        <w:tblLook w:val="04A0" w:firstRow="1" w:lastRow="0" w:firstColumn="1" w:lastColumn="0" w:noHBand="0" w:noVBand="1"/>
      </w:tblPr>
      <w:tblGrid>
        <w:gridCol w:w="922"/>
        <w:gridCol w:w="5429"/>
        <w:gridCol w:w="1714"/>
      </w:tblGrid>
      <w:tr w:rsidR="00685004" w:rsidRPr="003442E4" w:rsidTr="004F2A0F">
        <w:trPr>
          <w:trHeight w:val="493"/>
          <w:jc w:val="center"/>
        </w:trPr>
        <w:tc>
          <w:tcPr>
            <w:tcW w:w="922"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Item</w:t>
            </w:r>
          </w:p>
        </w:tc>
        <w:tc>
          <w:tcPr>
            <w:tcW w:w="5429"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Descrição</w:t>
            </w:r>
          </w:p>
        </w:tc>
        <w:tc>
          <w:tcPr>
            <w:tcW w:w="1714"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Quantidade</w:t>
            </w:r>
          </w:p>
        </w:tc>
      </w:tr>
      <w:tr w:rsidR="00685004" w:rsidRPr="00561B9C" w:rsidTr="004F2A0F">
        <w:trPr>
          <w:trHeight w:val="485"/>
          <w:jc w:val="center"/>
        </w:trPr>
        <w:tc>
          <w:tcPr>
            <w:tcW w:w="922" w:type="dxa"/>
            <w:vAlign w:val="center"/>
          </w:tcPr>
          <w:p w:rsidR="00685004" w:rsidRPr="00561B9C" w:rsidRDefault="00685004" w:rsidP="003442E4">
            <w:pPr>
              <w:spacing w:line="276" w:lineRule="auto"/>
              <w:jc w:val="center"/>
              <w:rPr>
                <w:rFonts w:ascii="Arial" w:hAnsi="Arial" w:cs="Arial"/>
                <w:color w:val="FF0000"/>
                <w:sz w:val="24"/>
                <w:szCs w:val="24"/>
              </w:rPr>
            </w:pPr>
            <w:r w:rsidRPr="00561B9C">
              <w:rPr>
                <w:rFonts w:ascii="Arial" w:hAnsi="Arial" w:cs="Arial"/>
                <w:color w:val="000000"/>
                <w:sz w:val="24"/>
                <w:szCs w:val="24"/>
              </w:rPr>
              <w:t>01</w:t>
            </w:r>
          </w:p>
        </w:tc>
        <w:tc>
          <w:tcPr>
            <w:tcW w:w="5429" w:type="dxa"/>
            <w:vAlign w:val="center"/>
          </w:tcPr>
          <w:p w:rsidR="003442E4" w:rsidRDefault="00561B9C" w:rsidP="00561B9C">
            <w:pPr>
              <w:spacing w:line="276" w:lineRule="auto"/>
              <w:jc w:val="both"/>
              <w:rPr>
                <w:rFonts w:ascii="Arial" w:hAnsi="Arial" w:cs="Arial"/>
                <w:sz w:val="24"/>
                <w:szCs w:val="24"/>
                <w:shd w:val="clear" w:color="auto" w:fill="FFFFFF"/>
              </w:rPr>
            </w:pPr>
            <w:r>
              <w:rPr>
                <w:rFonts w:ascii="Arial" w:hAnsi="Arial" w:cs="Arial"/>
                <w:sz w:val="24"/>
                <w:szCs w:val="24"/>
                <w:shd w:val="clear" w:color="auto" w:fill="FFFFFF"/>
              </w:rPr>
              <w:t>B</w:t>
            </w:r>
            <w:r w:rsidRPr="00561B9C">
              <w:rPr>
                <w:rFonts w:ascii="Arial" w:hAnsi="Arial" w:cs="Arial"/>
                <w:sz w:val="24"/>
                <w:szCs w:val="24"/>
                <w:shd w:val="clear" w:color="auto" w:fill="FFFFFF"/>
              </w:rPr>
              <w:t>roche (pins), cada um com dimensão de 2,5cm, produzido em</w:t>
            </w:r>
            <w:r w:rsidRPr="00561B9C">
              <w:rPr>
                <w:sz w:val="24"/>
                <w:szCs w:val="24"/>
              </w:rPr>
              <w:t xml:space="preserve"> </w:t>
            </w:r>
            <w:r w:rsidRPr="00561B9C">
              <w:rPr>
                <w:rFonts w:ascii="Arial" w:hAnsi="Arial" w:cs="Arial"/>
                <w:sz w:val="24"/>
                <w:szCs w:val="24"/>
                <w:shd w:val="clear" w:color="auto" w:fill="FFFFFF"/>
              </w:rPr>
              <w:t>material resinado, colorido, com fundo dourado e a palavra Poder</w:t>
            </w:r>
            <w:r w:rsidRPr="00561B9C">
              <w:rPr>
                <w:sz w:val="24"/>
                <w:szCs w:val="24"/>
              </w:rPr>
              <w:t xml:space="preserve"> </w:t>
            </w:r>
            <w:r w:rsidR="005D0C65">
              <w:rPr>
                <w:rFonts w:ascii="Arial" w:hAnsi="Arial" w:cs="Arial"/>
                <w:sz w:val="24"/>
                <w:szCs w:val="24"/>
                <w:shd w:val="clear" w:color="auto" w:fill="FFFFFF"/>
              </w:rPr>
              <w:t>Legislativo em letras pretas.</w:t>
            </w:r>
          </w:p>
          <w:p w:rsidR="007A38D6" w:rsidRPr="00561B9C" w:rsidRDefault="007A38D6" w:rsidP="00561B9C">
            <w:pPr>
              <w:spacing w:line="276" w:lineRule="auto"/>
              <w:jc w:val="both"/>
              <w:rPr>
                <w:rFonts w:ascii="Arial" w:hAnsi="Arial" w:cs="Arial"/>
                <w:sz w:val="24"/>
                <w:szCs w:val="24"/>
                <w:shd w:val="clear" w:color="auto" w:fill="FFFFFF"/>
              </w:rPr>
            </w:pPr>
            <w:r>
              <w:rPr>
                <w:rFonts w:ascii="Arial" w:hAnsi="Arial" w:cs="Arial"/>
                <w:sz w:val="25"/>
                <w:szCs w:val="25"/>
                <w:shd w:val="clear" w:color="auto" w:fill="FFFFFF"/>
              </w:rPr>
              <w:t>Os broches</w:t>
            </w:r>
            <w:r w:rsidR="009D0F05">
              <w:rPr>
                <w:sz w:val="27"/>
                <w:szCs w:val="27"/>
              </w:rPr>
              <w:t xml:space="preserve"> </w:t>
            </w:r>
            <w:r w:rsidR="009D0F05">
              <w:rPr>
                <w:rFonts w:ascii="Arial" w:hAnsi="Arial" w:cs="Arial"/>
                <w:sz w:val="25"/>
                <w:szCs w:val="25"/>
                <w:shd w:val="clear" w:color="auto" w:fill="FFFFFF"/>
              </w:rPr>
              <w:t>deverão</w:t>
            </w:r>
            <w:r>
              <w:rPr>
                <w:rFonts w:ascii="Arial" w:hAnsi="Arial" w:cs="Arial"/>
                <w:sz w:val="25"/>
                <w:szCs w:val="25"/>
                <w:shd w:val="clear" w:color="auto" w:fill="FFFFFF"/>
              </w:rPr>
              <w:t xml:space="preserve"> </w:t>
            </w:r>
            <w:r w:rsidR="009D0F05">
              <w:rPr>
                <w:rFonts w:ascii="Arial" w:hAnsi="Arial" w:cs="Arial"/>
                <w:sz w:val="25"/>
                <w:szCs w:val="25"/>
                <w:shd w:val="clear" w:color="auto" w:fill="FFFFFF"/>
              </w:rPr>
              <w:t xml:space="preserve">ser </w:t>
            </w:r>
            <w:r>
              <w:rPr>
                <w:rFonts w:ascii="Arial" w:hAnsi="Arial" w:cs="Arial"/>
                <w:sz w:val="25"/>
                <w:szCs w:val="25"/>
                <w:shd w:val="clear" w:color="auto" w:fill="FFFFFF"/>
              </w:rPr>
              <w:t>confeccionados em Pins Personalizados Resinado em Metal, com base de metal</w:t>
            </w:r>
            <w:r w:rsidR="009D0F05">
              <w:rPr>
                <w:sz w:val="27"/>
                <w:szCs w:val="27"/>
              </w:rPr>
              <w:t xml:space="preserve"> </w:t>
            </w:r>
            <w:r>
              <w:rPr>
                <w:rFonts w:ascii="Arial" w:hAnsi="Arial" w:cs="Arial"/>
                <w:sz w:val="25"/>
                <w:szCs w:val="25"/>
                <w:shd w:val="clear" w:color="auto" w:fill="FFFFFF"/>
              </w:rPr>
              <w:t>ZAMAC (liga de zinco com alumínio, magnésio e cobre), personalizados com impressão</w:t>
            </w:r>
            <w:r w:rsidR="009D0F05">
              <w:rPr>
                <w:sz w:val="27"/>
                <w:szCs w:val="27"/>
              </w:rPr>
              <w:t xml:space="preserve"> </w:t>
            </w:r>
            <w:r>
              <w:rPr>
                <w:rFonts w:ascii="Arial" w:hAnsi="Arial" w:cs="Arial"/>
                <w:sz w:val="25"/>
                <w:szCs w:val="25"/>
                <w:shd w:val="clear" w:color="auto" w:fill="FFFFFF"/>
              </w:rPr>
              <w:t>digital e acabamento em resina cristal PU. O revestimento com PU (poliuretano) é</w:t>
            </w:r>
            <w:r w:rsidR="009D0F05">
              <w:rPr>
                <w:sz w:val="27"/>
                <w:szCs w:val="27"/>
              </w:rPr>
              <w:t xml:space="preserve"> </w:t>
            </w:r>
            <w:r>
              <w:rPr>
                <w:rFonts w:ascii="Arial" w:hAnsi="Arial" w:cs="Arial"/>
                <w:sz w:val="25"/>
                <w:szCs w:val="25"/>
                <w:shd w:val="clear" w:color="auto" w:fill="FFFFFF"/>
              </w:rPr>
              <w:t>amplamente utilizado para proteger e melhorar a durabilidade de diversos materiais,</w:t>
            </w:r>
            <w:r w:rsidR="009D0F05">
              <w:rPr>
                <w:sz w:val="27"/>
                <w:szCs w:val="27"/>
              </w:rPr>
              <w:t xml:space="preserve"> </w:t>
            </w:r>
            <w:r>
              <w:rPr>
                <w:rFonts w:ascii="Arial" w:hAnsi="Arial" w:cs="Arial"/>
                <w:sz w:val="25"/>
                <w:szCs w:val="25"/>
                <w:shd w:val="clear" w:color="auto" w:fill="FFFFFF"/>
              </w:rPr>
              <w:t xml:space="preserve">podendo ser aplicado como tinta, verniz, espuma ou película protetora, </w:t>
            </w:r>
            <w:r>
              <w:rPr>
                <w:rFonts w:ascii="Arial" w:hAnsi="Arial" w:cs="Arial"/>
                <w:sz w:val="25"/>
                <w:szCs w:val="25"/>
                <w:shd w:val="clear" w:color="auto" w:fill="FFFFFF"/>
              </w:rPr>
              <w:lastRenderedPageBreak/>
              <w:t>dependendo da</w:t>
            </w:r>
            <w:r w:rsidR="009D0F05">
              <w:rPr>
                <w:sz w:val="27"/>
                <w:szCs w:val="27"/>
              </w:rPr>
              <w:t xml:space="preserve"> </w:t>
            </w:r>
            <w:r>
              <w:rPr>
                <w:rFonts w:ascii="Arial" w:hAnsi="Arial" w:cs="Arial"/>
                <w:sz w:val="25"/>
                <w:szCs w:val="25"/>
                <w:shd w:val="clear" w:color="auto" w:fill="FFFFFF"/>
              </w:rPr>
              <w:t>necessidade. No caso dos broches, ele proporciona proteção contra corrosão e desgaste,</w:t>
            </w:r>
            <w:r w:rsidR="009D0F05">
              <w:rPr>
                <w:sz w:val="27"/>
                <w:szCs w:val="27"/>
              </w:rPr>
              <w:t xml:space="preserve"> </w:t>
            </w:r>
            <w:r>
              <w:rPr>
                <w:rFonts w:ascii="Arial" w:hAnsi="Arial" w:cs="Arial"/>
                <w:sz w:val="25"/>
                <w:szCs w:val="25"/>
                <w:shd w:val="clear" w:color="auto" w:fill="FFFFFF"/>
              </w:rPr>
              <w:t>melhora a estética com acabamentos brilhantes ou foscos e reduz o atrito em peças</w:t>
            </w:r>
            <w:r w:rsidR="009D0F05">
              <w:rPr>
                <w:sz w:val="27"/>
                <w:szCs w:val="27"/>
              </w:rPr>
              <w:t xml:space="preserve"> </w:t>
            </w:r>
            <w:proofErr w:type="gramStart"/>
            <w:r>
              <w:rPr>
                <w:rFonts w:ascii="Arial" w:hAnsi="Arial" w:cs="Arial"/>
                <w:sz w:val="25"/>
                <w:szCs w:val="25"/>
                <w:shd w:val="clear" w:color="auto" w:fill="FFFFFF"/>
              </w:rPr>
              <w:t>mecânicas</w:t>
            </w:r>
            <w:proofErr w:type="gramEnd"/>
          </w:p>
        </w:tc>
        <w:tc>
          <w:tcPr>
            <w:tcW w:w="1714" w:type="dxa"/>
            <w:vAlign w:val="center"/>
          </w:tcPr>
          <w:p w:rsidR="00685004" w:rsidRPr="00561B9C" w:rsidRDefault="00561B9C" w:rsidP="00685004">
            <w:pPr>
              <w:spacing w:line="276" w:lineRule="auto"/>
              <w:jc w:val="center"/>
              <w:rPr>
                <w:rFonts w:ascii="Arial" w:hAnsi="Arial" w:cs="Arial"/>
                <w:sz w:val="24"/>
                <w:szCs w:val="24"/>
              </w:rPr>
            </w:pPr>
            <w:r w:rsidRPr="00561B9C">
              <w:rPr>
                <w:rFonts w:ascii="Arial" w:hAnsi="Arial" w:cs="Arial"/>
                <w:sz w:val="24"/>
                <w:szCs w:val="24"/>
              </w:rPr>
              <w:lastRenderedPageBreak/>
              <w:t>300</w:t>
            </w:r>
          </w:p>
        </w:tc>
      </w:tr>
    </w:tbl>
    <w:p w:rsidR="009D0F05" w:rsidRDefault="009D0F05" w:rsidP="00685004">
      <w:pPr>
        <w:spacing w:line="276" w:lineRule="auto"/>
        <w:jc w:val="both"/>
        <w:rPr>
          <w:rFonts w:ascii="Arial" w:hAnsi="Arial" w:cs="Arial"/>
          <w:b/>
          <w:sz w:val="24"/>
          <w:szCs w:val="24"/>
          <w:u w:val="single"/>
        </w:rPr>
      </w:pPr>
    </w:p>
    <w:p w:rsidR="009D0F05" w:rsidRPr="009D0F05" w:rsidRDefault="009D0F05" w:rsidP="00685004">
      <w:pPr>
        <w:spacing w:line="276" w:lineRule="auto"/>
        <w:jc w:val="both"/>
        <w:rPr>
          <w:rFonts w:ascii="Arial" w:hAnsi="Arial" w:cs="Arial"/>
          <w:b/>
          <w:sz w:val="24"/>
          <w:szCs w:val="24"/>
        </w:rPr>
      </w:pPr>
      <w:r w:rsidRPr="009D0F05">
        <w:rPr>
          <w:rFonts w:ascii="Arial" w:hAnsi="Arial" w:cs="Arial"/>
          <w:b/>
          <w:sz w:val="24"/>
          <w:szCs w:val="24"/>
        </w:rPr>
        <w:t>A Contratada deverá enviar uma amostra do broche para análise</w:t>
      </w:r>
      <w:r>
        <w:rPr>
          <w:rFonts w:ascii="Arial" w:hAnsi="Arial" w:cs="Arial"/>
          <w:b/>
          <w:sz w:val="24"/>
          <w:szCs w:val="24"/>
        </w:rPr>
        <w:t>,</w:t>
      </w:r>
      <w:r w:rsidRPr="009D0F05">
        <w:rPr>
          <w:rFonts w:ascii="Arial" w:hAnsi="Arial" w:cs="Arial"/>
          <w:b/>
          <w:sz w:val="24"/>
          <w:szCs w:val="24"/>
        </w:rPr>
        <w:t xml:space="preserve"> antes da confecção.</w:t>
      </w:r>
    </w:p>
    <w:p w:rsidR="009D0F05" w:rsidRDefault="009D0F05" w:rsidP="00685004">
      <w:pPr>
        <w:spacing w:line="276" w:lineRule="auto"/>
        <w:jc w:val="both"/>
        <w:rPr>
          <w:rFonts w:ascii="Arial" w:hAnsi="Arial" w:cs="Arial"/>
          <w:b/>
          <w:sz w:val="24"/>
          <w:szCs w:val="24"/>
          <w:u w:val="single"/>
        </w:rPr>
      </w:pPr>
    </w:p>
    <w:p w:rsidR="009D0F05" w:rsidRDefault="009D0F05" w:rsidP="00685004">
      <w:pPr>
        <w:spacing w:line="276" w:lineRule="auto"/>
        <w:jc w:val="both"/>
        <w:rPr>
          <w:rFonts w:ascii="Arial" w:hAnsi="Arial" w:cs="Arial"/>
          <w:b/>
          <w:sz w:val="24"/>
          <w:szCs w:val="24"/>
          <w:u w:val="single"/>
        </w:rPr>
      </w:pPr>
      <w:r>
        <w:rPr>
          <w:rFonts w:ascii="Arial" w:hAnsi="Arial" w:cs="Arial"/>
          <w:b/>
          <w:sz w:val="24"/>
          <w:szCs w:val="24"/>
          <w:u w:val="single"/>
        </w:rPr>
        <w:t>Brasão da Câmara Municipal:</w:t>
      </w:r>
    </w:p>
    <w:p w:rsidR="009D0F05" w:rsidRDefault="009D0F05" w:rsidP="00685004">
      <w:pPr>
        <w:spacing w:line="276" w:lineRule="auto"/>
        <w:jc w:val="both"/>
        <w:rPr>
          <w:rFonts w:ascii="Arial" w:hAnsi="Arial" w:cs="Arial"/>
          <w:b/>
          <w:sz w:val="24"/>
          <w:szCs w:val="24"/>
          <w:u w:val="single"/>
        </w:rPr>
      </w:pPr>
    </w:p>
    <w:p w:rsidR="009D0F05" w:rsidRDefault="009D0F05" w:rsidP="00685004">
      <w:pPr>
        <w:spacing w:line="276" w:lineRule="auto"/>
        <w:jc w:val="both"/>
        <w:rPr>
          <w:rFonts w:ascii="Arial" w:hAnsi="Arial" w:cs="Arial"/>
          <w:b/>
          <w:sz w:val="24"/>
          <w:szCs w:val="24"/>
          <w:u w:val="single"/>
        </w:rPr>
      </w:pPr>
      <w:r w:rsidRPr="00E416BE">
        <w:rPr>
          <w:noProof/>
          <w:lang w:eastAsia="pt-BR"/>
        </w:rPr>
        <w:drawing>
          <wp:anchor distT="0" distB="0" distL="114300" distR="114300" simplePos="0" relativeHeight="251659264" behindDoc="0" locked="0" layoutInCell="1" allowOverlap="1" wp14:anchorId="225C333B" wp14:editId="4626180E">
            <wp:simplePos x="0" y="0"/>
            <wp:positionH relativeFrom="column">
              <wp:posOffset>697865</wp:posOffset>
            </wp:positionH>
            <wp:positionV relativeFrom="paragraph">
              <wp:posOffset>32385</wp:posOffset>
            </wp:positionV>
            <wp:extent cx="971550" cy="1076325"/>
            <wp:effectExtent l="0" t="0" r="0" b="9525"/>
            <wp:wrapNone/>
            <wp:docPr id="5" name="Imagem 5"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8"/>
                    <a:srcRect/>
                    <a:stretch>
                      <a:fillRect/>
                    </a:stretch>
                  </pic:blipFill>
                  <pic:spPr bwMode="auto">
                    <a:xfrm>
                      <a:off x="0" y="0"/>
                      <a:ext cx="971550" cy="1076325"/>
                    </a:xfrm>
                    <a:prstGeom prst="rect">
                      <a:avLst/>
                    </a:prstGeom>
                    <a:noFill/>
                    <a:ln w="9525">
                      <a:noFill/>
                      <a:miter lim="800000"/>
                      <a:headEnd/>
                      <a:tailEnd/>
                    </a:ln>
                  </pic:spPr>
                </pic:pic>
              </a:graphicData>
            </a:graphic>
          </wp:anchor>
        </w:drawing>
      </w:r>
    </w:p>
    <w:p w:rsidR="009D0F05" w:rsidRDefault="009D0F05" w:rsidP="00685004">
      <w:pPr>
        <w:spacing w:line="276" w:lineRule="auto"/>
        <w:jc w:val="both"/>
        <w:rPr>
          <w:rFonts w:ascii="Arial" w:hAnsi="Arial" w:cs="Arial"/>
          <w:b/>
          <w:sz w:val="24"/>
          <w:szCs w:val="24"/>
          <w:u w:val="single"/>
        </w:rPr>
      </w:pPr>
    </w:p>
    <w:p w:rsidR="009D0F05" w:rsidRDefault="009D0F05" w:rsidP="00685004">
      <w:pPr>
        <w:spacing w:line="276" w:lineRule="auto"/>
        <w:jc w:val="both"/>
        <w:rPr>
          <w:rFonts w:ascii="Arial" w:hAnsi="Arial" w:cs="Arial"/>
          <w:b/>
          <w:sz w:val="24"/>
          <w:szCs w:val="24"/>
          <w:u w:val="single"/>
        </w:rPr>
      </w:pPr>
    </w:p>
    <w:p w:rsidR="009D0F05" w:rsidRDefault="009D0F05" w:rsidP="00685004">
      <w:pPr>
        <w:spacing w:line="276" w:lineRule="auto"/>
        <w:jc w:val="both"/>
        <w:rPr>
          <w:rFonts w:ascii="Arial" w:hAnsi="Arial" w:cs="Arial"/>
          <w:b/>
          <w:sz w:val="24"/>
          <w:szCs w:val="24"/>
          <w:u w:val="single"/>
        </w:rPr>
      </w:pPr>
    </w:p>
    <w:p w:rsidR="009D0F05" w:rsidRDefault="009D0F05" w:rsidP="00685004">
      <w:pPr>
        <w:spacing w:line="276" w:lineRule="auto"/>
        <w:jc w:val="both"/>
        <w:rPr>
          <w:rFonts w:ascii="Arial" w:hAnsi="Arial" w:cs="Arial"/>
          <w:b/>
          <w:sz w:val="24"/>
          <w:szCs w:val="24"/>
          <w:u w:val="single"/>
        </w:rPr>
      </w:pPr>
    </w:p>
    <w:p w:rsidR="009D0F05" w:rsidRDefault="009D0F05" w:rsidP="00685004">
      <w:pPr>
        <w:spacing w:line="276" w:lineRule="auto"/>
        <w:jc w:val="both"/>
        <w:rPr>
          <w:rFonts w:ascii="Arial" w:hAnsi="Arial" w:cs="Arial"/>
          <w:b/>
          <w:sz w:val="24"/>
          <w:szCs w:val="24"/>
          <w:u w:val="single"/>
        </w:rPr>
      </w:pPr>
    </w:p>
    <w:p w:rsidR="005D0C65" w:rsidRDefault="005D0C65" w:rsidP="00685004">
      <w:pPr>
        <w:spacing w:line="276" w:lineRule="auto"/>
        <w:jc w:val="both"/>
        <w:rPr>
          <w:rFonts w:ascii="Arial" w:hAnsi="Arial" w:cs="Arial"/>
          <w:b/>
          <w:sz w:val="24"/>
          <w:szCs w:val="24"/>
          <w:u w:val="single"/>
        </w:rPr>
      </w:pPr>
      <w:r>
        <w:rPr>
          <w:rFonts w:ascii="Arial" w:hAnsi="Arial" w:cs="Arial"/>
          <w:b/>
          <w:sz w:val="24"/>
          <w:szCs w:val="24"/>
          <w:u w:val="single"/>
        </w:rPr>
        <w:t>Sugestão de modelo de broche:</w:t>
      </w:r>
    </w:p>
    <w:p w:rsidR="005D0C65" w:rsidRPr="00561B9C" w:rsidRDefault="005D0C65" w:rsidP="00685004">
      <w:pPr>
        <w:spacing w:line="276" w:lineRule="auto"/>
        <w:jc w:val="both"/>
        <w:rPr>
          <w:rFonts w:ascii="Arial" w:hAnsi="Arial" w:cs="Arial"/>
          <w:b/>
          <w:sz w:val="24"/>
          <w:szCs w:val="24"/>
          <w:u w:val="single"/>
        </w:rPr>
      </w:pPr>
      <w:r>
        <w:rPr>
          <w:rFonts w:ascii="Arial" w:hAnsi="Arial" w:cs="Arial"/>
          <w:b/>
          <w:sz w:val="24"/>
          <w:szCs w:val="24"/>
          <w:u w:val="single"/>
        </w:rPr>
        <w:t xml:space="preserve"> </w:t>
      </w:r>
      <w:r>
        <w:rPr>
          <w:rFonts w:ascii="Arial" w:hAnsi="Arial" w:cs="Arial"/>
          <w:b/>
          <w:noProof/>
          <w:sz w:val="24"/>
          <w:szCs w:val="24"/>
          <w:u w:val="single"/>
          <w:lang w:eastAsia="pt-BR"/>
        </w:rPr>
        <w:drawing>
          <wp:inline distT="0" distB="0" distL="0" distR="0">
            <wp:extent cx="1778000" cy="177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03 at 13.40.59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inline>
        </w:drawing>
      </w:r>
      <w:r>
        <w:rPr>
          <w:rFonts w:ascii="Arial" w:hAnsi="Arial" w:cs="Arial"/>
          <w:b/>
          <w:sz w:val="24"/>
          <w:szCs w:val="24"/>
          <w:u w:val="single"/>
        </w:rPr>
        <w:t xml:space="preserve"> </w:t>
      </w:r>
      <w:r>
        <w:rPr>
          <w:rFonts w:ascii="Arial" w:hAnsi="Arial" w:cs="Arial"/>
          <w:b/>
          <w:noProof/>
          <w:sz w:val="24"/>
          <w:szCs w:val="24"/>
          <w:u w:val="single"/>
          <w:lang w:eastAsia="pt-BR"/>
        </w:rPr>
        <w:drawing>
          <wp:inline distT="0" distB="0" distL="0" distR="0">
            <wp:extent cx="1955800" cy="1955800"/>
            <wp:effectExtent l="0" t="0" r="635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03 at 13.40.5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5800" cy="1955800"/>
                    </a:xfrm>
                    <a:prstGeom prst="rect">
                      <a:avLst/>
                    </a:prstGeom>
                  </pic:spPr>
                </pic:pic>
              </a:graphicData>
            </a:graphic>
          </wp:inline>
        </w:drawing>
      </w: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2.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2.1.</w:t>
      </w:r>
      <w:r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 xml:space="preserve">3. DA EXECUÇÃO DO OBJETO – PRAZO, LOCAL E </w:t>
      </w:r>
      <w:proofErr w:type="gramStart"/>
      <w:r w:rsidRPr="003442E4">
        <w:rPr>
          <w:rFonts w:ascii="Arial" w:hAnsi="Arial" w:cs="Arial"/>
          <w:b/>
          <w:sz w:val="24"/>
          <w:szCs w:val="24"/>
          <w:u w:val="single"/>
        </w:rPr>
        <w:t>RECEBIMENTO</w:t>
      </w:r>
      <w:proofErr w:type="gramEnd"/>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 xml:space="preserve">3.1. </w:t>
      </w:r>
      <w:r w:rsidRPr="003442E4">
        <w:rPr>
          <w:rFonts w:ascii="Arial" w:hAnsi="Arial" w:cs="Arial"/>
          <w:sz w:val="24"/>
          <w:szCs w:val="24"/>
        </w:rPr>
        <w:t>Os objetos devem ser fornecidos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685004" w:rsidP="00685004">
      <w:pPr>
        <w:spacing w:line="276" w:lineRule="auto"/>
        <w:jc w:val="both"/>
        <w:rPr>
          <w:rFonts w:ascii="Arial" w:hAnsi="Arial" w:cs="Arial"/>
          <w:sz w:val="24"/>
          <w:szCs w:val="24"/>
          <w:u w:val="single"/>
          <w:shd w:val="clear" w:color="auto" w:fill="FFFFFF"/>
        </w:rPr>
      </w:pPr>
      <w:r w:rsidRPr="003442E4">
        <w:rPr>
          <w:rFonts w:ascii="Arial" w:hAnsi="Arial" w:cs="Arial"/>
          <w:b/>
          <w:sz w:val="24"/>
          <w:szCs w:val="24"/>
          <w:u w:val="single"/>
          <w:shd w:val="clear" w:color="auto" w:fill="FFFFFF"/>
        </w:rPr>
        <w:t>3.2. Local da entrega do Objeto</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685004" w:rsidP="00685004">
      <w:pPr>
        <w:spacing w:line="276" w:lineRule="auto"/>
        <w:jc w:val="both"/>
        <w:rPr>
          <w:rFonts w:ascii="Arial" w:hAnsi="Arial" w:cs="Arial"/>
          <w:sz w:val="24"/>
          <w:szCs w:val="24"/>
        </w:rPr>
      </w:pPr>
      <w:r w:rsidRPr="003442E4">
        <w:rPr>
          <w:rFonts w:ascii="Arial" w:hAnsi="Arial" w:cs="Arial"/>
          <w:b/>
          <w:sz w:val="24"/>
          <w:szCs w:val="24"/>
          <w:shd w:val="clear" w:color="auto" w:fill="FFFFFF"/>
        </w:rPr>
        <w:t>3.2.1.</w:t>
      </w:r>
      <w:r w:rsidRPr="003442E4">
        <w:rPr>
          <w:rFonts w:ascii="Arial" w:hAnsi="Arial" w:cs="Arial"/>
          <w:sz w:val="24"/>
          <w:szCs w:val="24"/>
          <w:shd w:val="clear" w:color="auto" w:fill="FFFFFF"/>
        </w:rPr>
        <w:t xml:space="preserve"> A entrega dos objetos deverá ser realizada no </w:t>
      </w:r>
      <w:r w:rsidRPr="003442E4">
        <w:rPr>
          <w:rFonts w:ascii="Arial" w:hAnsi="Arial" w:cs="Arial"/>
          <w:sz w:val="24"/>
          <w:szCs w:val="24"/>
        </w:rPr>
        <w:t xml:space="preserve">seguinte endereço: Rodovia Luís </w:t>
      </w:r>
      <w:proofErr w:type="spellStart"/>
      <w:r w:rsidRPr="003442E4">
        <w:rPr>
          <w:rFonts w:ascii="Arial" w:hAnsi="Arial" w:cs="Arial"/>
          <w:sz w:val="24"/>
          <w:szCs w:val="24"/>
        </w:rPr>
        <w:t>Ometto</w:t>
      </w:r>
      <w:proofErr w:type="spellEnd"/>
      <w:r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Pr="003442E4">
        <w:rPr>
          <w:rFonts w:ascii="Arial" w:hAnsi="Arial" w:cs="Arial"/>
          <w:sz w:val="24"/>
          <w:szCs w:val="24"/>
        </w:rPr>
        <w:t>mediante agendamento prévio</w:t>
      </w:r>
      <w:r w:rsidR="004B00EF">
        <w:rPr>
          <w:rFonts w:ascii="Arial" w:hAnsi="Arial" w:cs="Arial"/>
          <w:sz w:val="24"/>
          <w:szCs w:val="24"/>
        </w:rPr>
        <w:t xml:space="preserve"> junto ao setor de Almoxarifado.</w:t>
      </w:r>
    </w:p>
    <w:p w:rsidR="00685004" w:rsidRPr="003442E4" w:rsidRDefault="00685004" w:rsidP="00685004">
      <w:pPr>
        <w:spacing w:line="276" w:lineRule="auto"/>
        <w:jc w:val="both"/>
        <w:rPr>
          <w:rFonts w:ascii="Arial" w:hAnsi="Arial" w:cs="Arial"/>
          <w:sz w:val="24"/>
          <w:szCs w:val="24"/>
          <w:u w:val="single"/>
        </w:rPr>
      </w:pPr>
      <w:r w:rsidRPr="003442E4">
        <w:rPr>
          <w:rFonts w:ascii="Arial" w:hAnsi="Arial" w:cs="Arial"/>
          <w:b/>
          <w:sz w:val="24"/>
          <w:szCs w:val="24"/>
          <w:u w:val="single"/>
        </w:rPr>
        <w:t>3.3.</w:t>
      </w:r>
      <w:r w:rsidRPr="003442E4">
        <w:rPr>
          <w:rFonts w:ascii="Arial" w:hAnsi="Arial" w:cs="Arial"/>
          <w:sz w:val="24"/>
          <w:szCs w:val="24"/>
          <w:u w:val="single"/>
        </w:rPr>
        <w:t xml:space="preserve"> </w:t>
      </w:r>
      <w:r w:rsidRPr="003442E4">
        <w:rPr>
          <w:rFonts w:ascii="Arial" w:hAnsi="Arial" w:cs="Arial"/>
          <w:b/>
          <w:sz w:val="24"/>
          <w:szCs w:val="24"/>
          <w:u w:val="single"/>
        </w:rPr>
        <w:t>Recebimento do Objeto</w:t>
      </w:r>
      <w:r w:rsidRPr="003442E4">
        <w:rPr>
          <w:rFonts w:ascii="Arial" w:hAnsi="Arial" w:cs="Arial"/>
          <w:sz w:val="24"/>
          <w:szCs w:val="24"/>
          <w:u w:val="single"/>
        </w:rPr>
        <w:t xml:space="preserve">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3.3.1.</w:t>
      </w:r>
      <w:r w:rsidRPr="003442E4">
        <w:rPr>
          <w:rFonts w:ascii="Arial" w:hAnsi="Arial" w:cs="Arial"/>
          <w:sz w:val="24"/>
          <w:szCs w:val="24"/>
        </w:rPr>
        <w:t xml:space="preserve"> Os itens serão recebidos provisoriamente, de forma sumária, no prazo de 05 (cinco) dias, </w:t>
      </w:r>
      <w:proofErr w:type="gramStart"/>
      <w:r w:rsidRPr="003442E4">
        <w:rPr>
          <w:rFonts w:ascii="Arial" w:hAnsi="Arial" w:cs="Arial"/>
          <w:sz w:val="24"/>
          <w:szCs w:val="24"/>
        </w:rPr>
        <w:t>pelo(</w:t>
      </w:r>
      <w:proofErr w:type="gramEnd"/>
      <w:r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3.3.2.</w:t>
      </w:r>
      <w:r w:rsidRPr="003442E4">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3.3.3.</w:t>
      </w:r>
      <w:r w:rsidRPr="003442E4">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685004" w:rsidP="00685004">
      <w:pPr>
        <w:spacing w:line="276" w:lineRule="auto"/>
        <w:ind w:left="567"/>
        <w:jc w:val="both"/>
        <w:rPr>
          <w:rFonts w:ascii="Arial" w:hAnsi="Arial" w:cs="Arial"/>
          <w:sz w:val="24"/>
          <w:szCs w:val="24"/>
        </w:rPr>
      </w:pPr>
      <w:r w:rsidRPr="003442E4">
        <w:rPr>
          <w:rFonts w:ascii="Arial" w:hAnsi="Arial" w:cs="Arial"/>
          <w:b/>
          <w:sz w:val="24"/>
          <w:szCs w:val="24"/>
        </w:rPr>
        <w:t>3.3.3.1.</w:t>
      </w:r>
      <w:r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Pr="003442E4" w:rsidRDefault="00685004" w:rsidP="0068500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4.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4.1.</w:t>
      </w:r>
      <w:r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Default="00685004" w:rsidP="00685004">
      <w:pPr>
        <w:spacing w:line="276" w:lineRule="auto"/>
        <w:jc w:val="both"/>
        <w:rPr>
          <w:rFonts w:ascii="Arial" w:hAnsi="Arial" w:cs="Arial"/>
          <w:sz w:val="24"/>
          <w:szCs w:val="24"/>
        </w:rPr>
      </w:pPr>
      <w:r w:rsidRPr="003442E4">
        <w:rPr>
          <w:rFonts w:ascii="Arial" w:hAnsi="Arial" w:cs="Arial"/>
          <w:b/>
          <w:sz w:val="24"/>
          <w:szCs w:val="24"/>
        </w:rPr>
        <w:t>4.2.</w:t>
      </w:r>
      <w:r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9D0F05" w:rsidRDefault="009D0F05" w:rsidP="00685004">
      <w:pPr>
        <w:spacing w:line="276" w:lineRule="auto"/>
        <w:jc w:val="both"/>
        <w:rPr>
          <w:rFonts w:ascii="Arial" w:hAnsi="Arial" w:cs="Arial"/>
          <w:sz w:val="24"/>
          <w:szCs w:val="24"/>
        </w:rPr>
      </w:pPr>
    </w:p>
    <w:p w:rsidR="009D0F05" w:rsidRDefault="009D0F05" w:rsidP="00685004">
      <w:pPr>
        <w:spacing w:line="276" w:lineRule="auto"/>
        <w:jc w:val="both"/>
        <w:rPr>
          <w:rFonts w:ascii="Arial" w:hAnsi="Arial" w:cs="Arial"/>
          <w:sz w:val="24"/>
          <w:szCs w:val="24"/>
        </w:rPr>
      </w:pPr>
    </w:p>
    <w:p w:rsidR="009D0F05" w:rsidRPr="003442E4" w:rsidRDefault="009D0F05"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5.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uppressAutoHyphens/>
        <w:jc w:val="both"/>
        <w:rPr>
          <w:rFonts w:ascii="Arial" w:hAnsi="Arial" w:cs="Arial"/>
          <w:sz w:val="24"/>
          <w:szCs w:val="24"/>
        </w:rPr>
      </w:pPr>
      <w:r w:rsidRPr="003442E4">
        <w:rPr>
          <w:rFonts w:ascii="Arial" w:hAnsi="Arial" w:cs="Arial"/>
          <w:b/>
          <w:sz w:val="24"/>
          <w:szCs w:val="24"/>
        </w:rPr>
        <w:t>5.1.</w:t>
      </w:r>
      <w:r w:rsidRPr="003442E4">
        <w:rPr>
          <w:rFonts w:ascii="Arial" w:hAnsi="Arial" w:cs="Arial"/>
          <w:sz w:val="24"/>
          <w:szCs w:val="24"/>
        </w:rPr>
        <w:t xml:space="preserve"> O pagamento será efetuado dentro de 10 (dez) dias corridos, após a entrega dos produtos e da apresentação da correspondente nota fiscal/</w:t>
      </w:r>
      <w:proofErr w:type="gramStart"/>
      <w:r w:rsidRPr="003442E4">
        <w:rPr>
          <w:rFonts w:ascii="Arial" w:hAnsi="Arial" w:cs="Arial"/>
          <w:sz w:val="24"/>
          <w:szCs w:val="24"/>
        </w:rPr>
        <w:t>fatura, devidamente aprovada pelo Setor Requisitante</w:t>
      </w:r>
      <w:proofErr w:type="gramEnd"/>
      <w:r w:rsidRPr="003442E4">
        <w:rPr>
          <w:rFonts w:ascii="Arial" w:hAnsi="Arial" w:cs="Arial"/>
          <w:sz w:val="24"/>
          <w:szCs w:val="24"/>
        </w:rPr>
        <w:t>.</w:t>
      </w:r>
    </w:p>
    <w:p w:rsidR="00685004" w:rsidRPr="003442E4" w:rsidRDefault="00685004" w:rsidP="00685004">
      <w:pPr>
        <w:suppressAutoHyphens/>
        <w:jc w:val="both"/>
        <w:rPr>
          <w:rFonts w:ascii="Arial" w:hAnsi="Arial" w:cs="Arial"/>
          <w:sz w:val="24"/>
          <w:szCs w:val="24"/>
        </w:rPr>
      </w:pPr>
    </w:p>
    <w:p w:rsidR="00685004" w:rsidRPr="003442E4" w:rsidRDefault="00685004" w:rsidP="00685004">
      <w:pPr>
        <w:suppressAutoHyphens/>
        <w:spacing w:line="276" w:lineRule="auto"/>
        <w:ind w:left="567"/>
        <w:jc w:val="both"/>
        <w:rPr>
          <w:rFonts w:ascii="Arial" w:hAnsi="Arial" w:cs="Arial"/>
          <w:sz w:val="24"/>
          <w:szCs w:val="24"/>
        </w:rPr>
      </w:pPr>
      <w:r w:rsidRPr="003442E4">
        <w:rPr>
          <w:rFonts w:ascii="Arial" w:hAnsi="Arial" w:cs="Arial"/>
          <w:b/>
          <w:sz w:val="24"/>
          <w:szCs w:val="24"/>
        </w:rPr>
        <w:t>5.1.1.</w:t>
      </w:r>
      <w:r w:rsidRPr="003442E4">
        <w:rPr>
          <w:rFonts w:ascii="Arial" w:hAnsi="Arial" w:cs="Arial"/>
          <w:sz w:val="24"/>
          <w:szCs w:val="24"/>
        </w:rPr>
        <w:t xml:space="preserve"> O pagamento referente à entrega parcial do objeto será efetuado dentro de 10 (dez) dias corridos após aquela, acompanhada da correspondente nota fiscal/</w:t>
      </w:r>
      <w:proofErr w:type="gramStart"/>
      <w:r w:rsidRPr="003442E4">
        <w:rPr>
          <w:rFonts w:ascii="Arial" w:hAnsi="Arial" w:cs="Arial"/>
          <w:sz w:val="24"/>
          <w:szCs w:val="24"/>
        </w:rPr>
        <w:t>fatura, devidamente aprovada</w:t>
      </w:r>
      <w:proofErr w:type="gramEnd"/>
      <w:r w:rsidRPr="003442E4">
        <w:rPr>
          <w:rFonts w:ascii="Arial" w:hAnsi="Arial" w:cs="Arial"/>
          <w:sz w:val="24"/>
          <w:szCs w:val="24"/>
        </w:rPr>
        <w:t xml:space="preserve">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5.2.</w:t>
      </w:r>
      <w:r w:rsidRPr="003442E4">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5.3</w:t>
      </w:r>
      <w:r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EB0CE0">
        <w:rPr>
          <w:rFonts w:ascii="Arial" w:hAnsi="Arial" w:cs="Arial"/>
          <w:sz w:val="24"/>
          <w:szCs w:val="24"/>
        </w:rPr>
        <w:t>28</w:t>
      </w:r>
      <w:r w:rsidRPr="003442E4">
        <w:rPr>
          <w:rFonts w:ascii="Arial" w:hAnsi="Arial" w:cs="Arial"/>
          <w:sz w:val="24"/>
          <w:szCs w:val="24"/>
        </w:rPr>
        <w:t xml:space="preserve"> de </w:t>
      </w:r>
      <w:r w:rsidR="00EB0CE0">
        <w:rPr>
          <w:rFonts w:ascii="Arial" w:hAnsi="Arial" w:cs="Arial"/>
          <w:sz w:val="24"/>
          <w:szCs w:val="24"/>
        </w:rPr>
        <w:t>Abril</w:t>
      </w:r>
      <w:r w:rsidRPr="003442E4">
        <w:rPr>
          <w:rFonts w:ascii="Arial" w:hAnsi="Arial" w:cs="Arial"/>
          <w:sz w:val="24"/>
          <w:szCs w:val="24"/>
        </w:rPr>
        <w:t xml:space="preserve"> de 2025.</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Fernando de Faria e Souza Campos</w:t>
      </w:r>
    </w:p>
    <w:p w:rsidR="000F1275" w:rsidRPr="003442E4" w:rsidRDefault="00561B9C" w:rsidP="00685004">
      <w:pPr>
        <w:spacing w:line="276" w:lineRule="auto"/>
        <w:jc w:val="center"/>
        <w:rPr>
          <w:rFonts w:ascii="Arial" w:hAnsi="Arial" w:cs="Arial"/>
          <w:sz w:val="24"/>
          <w:szCs w:val="24"/>
        </w:rPr>
      </w:pPr>
      <w:r>
        <w:rPr>
          <w:rFonts w:ascii="Arial" w:hAnsi="Arial" w:cs="Arial"/>
          <w:sz w:val="24"/>
          <w:szCs w:val="24"/>
        </w:rPr>
        <w:t>Diretor de Comunicação e Cerimonial</w:t>
      </w:r>
    </w:p>
    <w:p w:rsidR="00174021" w:rsidRPr="003442E4" w:rsidRDefault="00174021">
      <w:pPr>
        <w:spacing w:line="276" w:lineRule="auto"/>
        <w:jc w:val="center"/>
        <w:rPr>
          <w:rFonts w:ascii="Arial" w:hAnsi="Arial" w:cs="Arial"/>
          <w:sz w:val="24"/>
          <w:szCs w:val="24"/>
        </w:rPr>
      </w:pPr>
    </w:p>
    <w:sectPr w:rsidR="00174021" w:rsidRPr="003442E4" w:rsidSect="00033B32">
      <w:headerReference w:type="default" r:id="rId11"/>
      <w:footerReference w:type="default" r:id="rId12"/>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D6" w:rsidRDefault="007A38D6">
      <w:r>
        <w:separator/>
      </w:r>
    </w:p>
  </w:endnote>
  <w:endnote w:type="continuationSeparator" w:id="0">
    <w:p w:rsidR="007A38D6" w:rsidRDefault="007A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D6" w:rsidRDefault="007A38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D6" w:rsidRDefault="007A38D6">
      <w:r>
        <w:separator/>
      </w:r>
    </w:p>
  </w:footnote>
  <w:footnote w:type="continuationSeparator" w:id="0">
    <w:p w:rsidR="007A38D6" w:rsidRDefault="007A3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D6" w:rsidRDefault="007A38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8D6" w:rsidRPr="00972FB9" w:rsidRDefault="007A38D6"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A38D6" w:rsidRPr="00972FB9" w:rsidRDefault="007A38D6"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A38D6" w:rsidRPr="00972FB9" w:rsidRDefault="007A38D6"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A38D6" w:rsidRPr="00972FB9" w:rsidRDefault="007A38D6"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74021"/>
    <w:rsid w:val="002579EE"/>
    <w:rsid w:val="00266AD9"/>
    <w:rsid w:val="003442E4"/>
    <w:rsid w:val="00386449"/>
    <w:rsid w:val="003C5AF3"/>
    <w:rsid w:val="00454A10"/>
    <w:rsid w:val="004B00EF"/>
    <w:rsid w:val="004C2336"/>
    <w:rsid w:val="004F2A0F"/>
    <w:rsid w:val="004F6EE4"/>
    <w:rsid w:val="005419C2"/>
    <w:rsid w:val="00561B9C"/>
    <w:rsid w:val="005D0C65"/>
    <w:rsid w:val="00685004"/>
    <w:rsid w:val="0075346D"/>
    <w:rsid w:val="00771E17"/>
    <w:rsid w:val="00776ABC"/>
    <w:rsid w:val="007A38D6"/>
    <w:rsid w:val="007D5977"/>
    <w:rsid w:val="007F58CA"/>
    <w:rsid w:val="0083087E"/>
    <w:rsid w:val="009C25A3"/>
    <w:rsid w:val="009D0F05"/>
    <w:rsid w:val="00A33591"/>
    <w:rsid w:val="00A75CA2"/>
    <w:rsid w:val="00AF6BC5"/>
    <w:rsid w:val="00B33474"/>
    <w:rsid w:val="00B77C83"/>
    <w:rsid w:val="00D0600F"/>
    <w:rsid w:val="00EB0CE0"/>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848</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Fernando Miqueloto Kawai</cp:lastModifiedBy>
  <cp:revision>6</cp:revision>
  <dcterms:created xsi:type="dcterms:W3CDTF">2025-02-03T16:59:00Z</dcterms:created>
  <dcterms:modified xsi:type="dcterms:W3CDTF">2025-06-10T13:14:00Z</dcterms:modified>
</cp:coreProperties>
</file>